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DC" w:rsidRPr="00EC0208" w:rsidRDefault="00FD30DC" w:rsidP="00016EAD">
      <w:pPr>
        <w:pStyle w:val="Corpsdetexte"/>
        <w:tabs>
          <w:tab w:val="left" w:pos="1121"/>
        </w:tabs>
        <w:rPr>
          <w:rFonts w:ascii="Marianne" w:hAnsi="Marianne" w:cs="Calibri"/>
          <w:szCs w:val="20"/>
        </w:rPr>
        <w:sectPr w:rsidR="00FD30DC" w:rsidRPr="00EC0208" w:rsidSect="00930B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174183" w:rsidRPr="00EC0208" w:rsidRDefault="00C864EF" w:rsidP="0081341A">
      <w:pPr>
        <w:pStyle w:val="Objet"/>
        <w:spacing w:before="120" w:after="120" w:line="240" w:lineRule="auto"/>
        <w:jc w:val="center"/>
        <w:rPr>
          <w:rFonts w:ascii="Marianne" w:hAnsi="Marianne" w:cs="Calibri"/>
          <w:bCs/>
          <w:iCs/>
          <w:color w:val="auto"/>
          <w:szCs w:val="20"/>
        </w:rPr>
      </w:pPr>
      <w:r w:rsidRPr="00EC0208">
        <w:rPr>
          <w:rFonts w:ascii="Marianne" w:hAnsi="Marianne" w:cs="Calibri"/>
          <w:bCs/>
          <w:iCs/>
          <w:color w:val="auto"/>
          <w:szCs w:val="20"/>
          <w:u w:val="single"/>
        </w:rPr>
        <w:t>Lettre de mission</w:t>
      </w:r>
    </w:p>
    <w:p w:rsidR="000924D0" w:rsidRPr="00EC0208" w:rsidRDefault="00BE3F89" w:rsidP="0081341A">
      <w:pPr>
        <w:pStyle w:val="Objet"/>
        <w:spacing w:before="240" w:after="240" w:line="240" w:lineRule="auto"/>
        <w:jc w:val="center"/>
        <w:rPr>
          <w:rFonts w:ascii="Marianne" w:hAnsi="Marianne" w:cs="Calibri"/>
          <w:bCs/>
          <w:iCs/>
          <w:color w:val="auto"/>
          <w:szCs w:val="20"/>
        </w:rPr>
      </w:pPr>
      <w:r w:rsidRPr="00EC0208">
        <w:rPr>
          <w:rFonts w:ascii="Marianne" w:hAnsi="Marianne" w:cs="Calibri"/>
          <w:bCs/>
          <w:iCs/>
          <w:color w:val="auto"/>
          <w:szCs w:val="20"/>
        </w:rPr>
        <w:t>Directeur</w:t>
      </w:r>
      <w:r w:rsidR="00C864EF" w:rsidRPr="00EC0208">
        <w:rPr>
          <w:rFonts w:ascii="Marianne" w:hAnsi="Marianne" w:cs="Calibri"/>
          <w:bCs/>
          <w:iCs/>
          <w:color w:val="auto"/>
          <w:szCs w:val="20"/>
        </w:rPr>
        <w:t xml:space="preserve"> Délégué</w:t>
      </w:r>
      <w:r w:rsidR="00ED3355" w:rsidRPr="00EC0208">
        <w:rPr>
          <w:rFonts w:ascii="Marianne" w:hAnsi="Marianne" w:cs="Calibri"/>
          <w:bCs/>
          <w:iCs/>
          <w:color w:val="auto"/>
          <w:szCs w:val="20"/>
        </w:rPr>
        <w:t xml:space="preserve"> </w:t>
      </w:r>
      <w:r w:rsidR="00C864EF" w:rsidRPr="00EC0208">
        <w:rPr>
          <w:rFonts w:ascii="Marianne" w:hAnsi="Marianne" w:cs="Calibri"/>
          <w:bCs/>
          <w:iCs/>
          <w:color w:val="auto"/>
          <w:szCs w:val="20"/>
        </w:rPr>
        <w:t xml:space="preserve">aux Formations </w:t>
      </w:r>
      <w:r w:rsidR="0039541D" w:rsidRPr="00EC0208">
        <w:rPr>
          <w:rFonts w:ascii="Marianne" w:hAnsi="Marianne" w:cs="Calibri"/>
          <w:bCs/>
          <w:iCs/>
          <w:color w:val="auto"/>
          <w:szCs w:val="20"/>
        </w:rPr>
        <w:t>P</w:t>
      </w:r>
      <w:r w:rsidR="00C864EF" w:rsidRPr="00EC0208">
        <w:rPr>
          <w:rFonts w:ascii="Marianne" w:hAnsi="Marianne" w:cs="Calibri"/>
          <w:bCs/>
          <w:iCs/>
          <w:color w:val="auto"/>
          <w:szCs w:val="20"/>
        </w:rPr>
        <w:t xml:space="preserve">rofessionnelles et </w:t>
      </w:r>
      <w:r w:rsidR="0039541D" w:rsidRPr="00EC0208">
        <w:rPr>
          <w:rFonts w:ascii="Marianne" w:hAnsi="Marianne" w:cs="Calibri"/>
          <w:bCs/>
          <w:iCs/>
          <w:color w:val="auto"/>
          <w:szCs w:val="20"/>
        </w:rPr>
        <w:t>T</w:t>
      </w:r>
      <w:r w:rsidR="00C864EF" w:rsidRPr="00EC0208">
        <w:rPr>
          <w:rFonts w:ascii="Marianne" w:hAnsi="Marianne" w:cs="Calibri"/>
          <w:bCs/>
          <w:iCs/>
          <w:color w:val="auto"/>
          <w:szCs w:val="20"/>
        </w:rPr>
        <w:t>echnologiques</w:t>
      </w:r>
      <w:r w:rsidR="00ED3355" w:rsidRPr="00EC0208">
        <w:rPr>
          <w:rFonts w:ascii="Marianne" w:hAnsi="Marianne" w:cs="Calibri"/>
          <w:bCs/>
          <w:iCs/>
          <w:color w:val="auto"/>
          <w:szCs w:val="20"/>
        </w:rPr>
        <w:t xml:space="preserve"> (</w:t>
      </w:r>
      <w:r w:rsidR="00F1313C" w:rsidRPr="00EC0208">
        <w:rPr>
          <w:rFonts w:ascii="Marianne" w:hAnsi="Marianne" w:cs="Calibri"/>
          <w:bCs/>
          <w:iCs/>
          <w:color w:val="auto"/>
          <w:szCs w:val="20"/>
        </w:rPr>
        <w:t>DDF</w:t>
      </w:r>
      <w:r w:rsidR="00ED3355" w:rsidRPr="00EC0208">
        <w:rPr>
          <w:rFonts w:ascii="Marianne" w:hAnsi="Marianne" w:cs="Calibri"/>
          <w:bCs/>
          <w:iCs/>
          <w:color w:val="auto"/>
          <w:szCs w:val="20"/>
        </w:rPr>
        <w:t>)</w:t>
      </w:r>
    </w:p>
    <w:p w:rsidR="007440C7" w:rsidRPr="00615227" w:rsidRDefault="007440C7" w:rsidP="0081341A">
      <w:pPr>
        <w:pStyle w:val="Corpsdetexte"/>
        <w:spacing w:before="240" w:after="240" w:line="240" w:lineRule="auto"/>
        <w:rPr>
          <w:rFonts w:ascii="Marianne" w:eastAsia="Calibri" w:hAnsi="Marianne" w:cs="Calibri"/>
          <w:i/>
          <w:szCs w:val="20"/>
        </w:rPr>
      </w:pPr>
      <w:r w:rsidRPr="00615227">
        <w:rPr>
          <w:rFonts w:ascii="Marianne" w:eastAsia="Calibri" w:hAnsi="Marianne" w:cs="Calibri"/>
          <w:i/>
          <w:szCs w:val="20"/>
          <w:u w:val="single"/>
        </w:rPr>
        <w:t>Référence réglementaire</w:t>
      </w:r>
      <w:r w:rsidRPr="00615227">
        <w:rPr>
          <w:rFonts w:ascii="Calibri" w:eastAsia="Calibri" w:hAnsi="Calibri" w:cs="Calibri"/>
          <w:i/>
          <w:szCs w:val="20"/>
        </w:rPr>
        <w:t> </w:t>
      </w:r>
      <w:r w:rsidRPr="00615227">
        <w:rPr>
          <w:rFonts w:ascii="Marianne" w:eastAsia="Calibri" w:hAnsi="Marianne" w:cs="Calibri"/>
          <w:i/>
          <w:szCs w:val="20"/>
        </w:rPr>
        <w:t>:</w:t>
      </w:r>
      <w:r w:rsidR="00EE75FB" w:rsidRPr="00615227">
        <w:rPr>
          <w:rFonts w:ascii="Marianne" w:eastAsia="Calibri" w:hAnsi="Marianne" w:cs="Calibri"/>
          <w:i/>
          <w:szCs w:val="20"/>
        </w:rPr>
        <w:t xml:space="preserve"> circulaire n°2016-137 du 11-10-2016 </w:t>
      </w:r>
    </w:p>
    <w:p w:rsidR="00D31BD6" w:rsidRDefault="00D31BD6" w:rsidP="00D31BD6">
      <w:pPr>
        <w:pStyle w:val="Sansinterligne"/>
        <w:spacing w:before="120" w:after="120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>La lettre de mission détermine les actions à mener par le DDF dans le respect de son service hebdomadaire. Elle est fondée sur le référentiel métier du DDF et tient compte de l’évolution du système éducatif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Calibri"/>
          <w:sz w:val="20"/>
          <w:szCs w:val="20"/>
        </w:rPr>
        <w:t>: transformation de la voie professionnelle, réforme de l’apprentissage...</w:t>
      </w:r>
      <w:r w:rsidR="001235F5">
        <w:rPr>
          <w:rFonts w:ascii="Marianne" w:hAnsi="Marianne" w:cs="Calibri"/>
          <w:sz w:val="20"/>
          <w:szCs w:val="20"/>
        </w:rPr>
        <w:t xml:space="preserve"> Dans ce contexte, </w:t>
      </w:r>
      <w:r w:rsidR="0060383D">
        <w:rPr>
          <w:rFonts w:ascii="Marianne" w:hAnsi="Marianne" w:cs="Calibri"/>
          <w:sz w:val="20"/>
          <w:szCs w:val="20"/>
        </w:rPr>
        <w:t xml:space="preserve">le régime indemnitaire des DDF reste inchangé. </w:t>
      </w:r>
    </w:p>
    <w:p w:rsidR="00C864EF" w:rsidRPr="00EC0208" w:rsidRDefault="00C864EF" w:rsidP="006C6137">
      <w:pPr>
        <w:pStyle w:val="Default"/>
        <w:spacing w:before="240" w:after="120"/>
        <w:rPr>
          <w:rFonts w:ascii="Marianne" w:hAnsi="Marianne" w:cs="Calibri"/>
          <w:b/>
          <w:bCs/>
          <w:iCs/>
          <w:color w:val="auto"/>
          <w:sz w:val="20"/>
          <w:szCs w:val="20"/>
        </w:rPr>
      </w:pP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>1-</w:t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ab/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  <w:u w:val="single"/>
        </w:rPr>
        <w:t>Organisation des enseignements professionnels et technologiques</w:t>
      </w:r>
    </w:p>
    <w:p w:rsidR="005B2989" w:rsidRPr="00EC0208" w:rsidRDefault="00C864EF" w:rsidP="002A3D32">
      <w:pPr>
        <w:pStyle w:val="Default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 xml:space="preserve">Le </w:t>
      </w:r>
      <w:r w:rsidR="00F1313C" w:rsidRPr="00EC0208">
        <w:rPr>
          <w:rFonts w:ascii="Marianne" w:hAnsi="Marianne" w:cs="Calibri"/>
          <w:color w:val="auto"/>
          <w:sz w:val="20"/>
          <w:szCs w:val="20"/>
        </w:rPr>
        <w:t>DDF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 organise les enseignements professionnels </w:t>
      </w:r>
      <w:r w:rsidR="00D23CE3" w:rsidRPr="00EC0208">
        <w:rPr>
          <w:rFonts w:ascii="Marianne" w:hAnsi="Marianne" w:cs="Calibri"/>
          <w:color w:val="auto"/>
          <w:sz w:val="20"/>
          <w:szCs w:val="20"/>
        </w:rPr>
        <w:t>et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 technologiques</w:t>
      </w:r>
      <w:r w:rsidR="00094680" w:rsidRPr="00EC0208">
        <w:rPr>
          <w:rFonts w:ascii="Marianne" w:hAnsi="Marianne" w:cs="Calibri"/>
          <w:color w:val="auto"/>
          <w:sz w:val="20"/>
          <w:szCs w:val="20"/>
        </w:rPr>
        <w:t xml:space="preserve">. Son rôle s’applique aux ressources humaines, aux 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moyens techniques </w:t>
      </w:r>
      <w:r w:rsidR="00094680" w:rsidRPr="00EC0208">
        <w:rPr>
          <w:rFonts w:ascii="Marianne" w:hAnsi="Marianne" w:cs="Calibri"/>
          <w:color w:val="auto"/>
          <w:sz w:val="20"/>
          <w:szCs w:val="20"/>
        </w:rPr>
        <w:t xml:space="preserve">ainsi qu’à la gestion du temps 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et de </w:t>
      </w:r>
      <w:r w:rsidR="00094680" w:rsidRPr="00EC0208">
        <w:rPr>
          <w:rFonts w:ascii="Marianne" w:hAnsi="Marianne" w:cs="Calibri"/>
          <w:color w:val="auto"/>
          <w:sz w:val="20"/>
          <w:szCs w:val="20"/>
        </w:rPr>
        <w:t>l’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espace </w:t>
      </w:r>
      <w:r w:rsidR="00094680" w:rsidRPr="00EC0208">
        <w:rPr>
          <w:rFonts w:ascii="Marianne" w:hAnsi="Marianne" w:cs="Calibri"/>
          <w:color w:val="auto"/>
          <w:sz w:val="20"/>
          <w:szCs w:val="20"/>
        </w:rPr>
        <w:t>pédagogique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. </w:t>
      </w:r>
    </w:p>
    <w:p w:rsidR="00C864EF" w:rsidRPr="00EC0208" w:rsidRDefault="005B2989" w:rsidP="00A179D6">
      <w:pPr>
        <w:pStyle w:val="Default"/>
        <w:spacing w:before="120" w:after="12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>Points retenus sur lesquels porter</w:t>
      </w:r>
      <w:r w:rsidR="005B7C42" w:rsidRPr="00EC0208">
        <w:rPr>
          <w:rFonts w:ascii="Marianne" w:hAnsi="Marianne" w:cs="Calibri"/>
          <w:color w:val="auto"/>
          <w:sz w:val="20"/>
          <w:szCs w:val="20"/>
        </w:rPr>
        <w:t xml:space="preserve">ont prioritairement </w:t>
      </w:r>
      <w:r w:rsidRPr="00EC0208">
        <w:rPr>
          <w:rFonts w:ascii="Marianne" w:hAnsi="Marianne" w:cs="Calibri"/>
          <w:color w:val="auto"/>
          <w:sz w:val="20"/>
          <w:szCs w:val="20"/>
        </w:rPr>
        <w:t>l</w:t>
      </w:r>
      <w:r w:rsidR="005B7C42" w:rsidRPr="00EC0208">
        <w:rPr>
          <w:rFonts w:ascii="Marianne" w:hAnsi="Marianne" w:cs="Calibri"/>
          <w:color w:val="auto"/>
          <w:sz w:val="20"/>
          <w:szCs w:val="20"/>
        </w:rPr>
        <w:t xml:space="preserve">es </w:t>
      </w:r>
      <w:r w:rsidRPr="00EC0208">
        <w:rPr>
          <w:rFonts w:ascii="Marianne" w:hAnsi="Marianne" w:cs="Calibri"/>
          <w:color w:val="auto"/>
          <w:sz w:val="20"/>
          <w:szCs w:val="20"/>
        </w:rPr>
        <w:t>action</w:t>
      </w:r>
      <w:r w:rsidR="005B7C42" w:rsidRPr="00EC0208">
        <w:rPr>
          <w:rFonts w:ascii="Marianne" w:hAnsi="Marianne" w:cs="Calibri"/>
          <w:color w:val="auto"/>
          <w:sz w:val="20"/>
          <w:szCs w:val="20"/>
        </w:rPr>
        <w:t>s</w:t>
      </w:r>
      <w:r w:rsidRPr="00EC0208">
        <w:rPr>
          <w:rFonts w:ascii="Marianne" w:hAnsi="Marianne" w:cs="Calibri"/>
          <w:color w:val="auto"/>
          <w:sz w:val="20"/>
          <w:szCs w:val="20"/>
        </w:rPr>
        <w:t xml:space="preserve"> du DDF </w:t>
      </w:r>
      <w:r w:rsidR="006C6137" w:rsidRPr="00EC0208">
        <w:rPr>
          <w:rFonts w:ascii="Marianne" w:hAnsi="Marianne" w:cs="Calibri"/>
          <w:color w:val="auto"/>
          <w:sz w:val="20"/>
          <w:szCs w:val="20"/>
        </w:rPr>
        <w:t>:</w:t>
      </w:r>
      <w:r w:rsidR="00C864EF" w:rsidRPr="00EC0208">
        <w:rPr>
          <w:rFonts w:ascii="Marianne" w:hAnsi="Marianne" w:cs="Calibri"/>
          <w:color w:val="auto"/>
          <w:sz w:val="20"/>
          <w:szCs w:val="20"/>
        </w:rPr>
        <w:t xml:space="preserve"> </w:t>
      </w: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C0208" w:rsidRPr="00EC0208" w:rsidRDefault="00EC0208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9D1B49" w:rsidRPr="00EC0208" w:rsidRDefault="009D1B49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C0208" w:rsidRPr="00EC0208" w:rsidRDefault="00EC0208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C864EF" w:rsidRPr="00EC0208" w:rsidRDefault="009F0125" w:rsidP="00F425C1">
      <w:pPr>
        <w:pStyle w:val="Default"/>
        <w:spacing w:before="120" w:after="120"/>
        <w:rPr>
          <w:rFonts w:ascii="Marianne" w:hAnsi="Marianne" w:cs="Calibri"/>
          <w:b/>
          <w:bCs/>
          <w:iCs/>
          <w:color w:val="auto"/>
          <w:sz w:val="20"/>
          <w:szCs w:val="20"/>
        </w:rPr>
      </w:pP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>2-</w:t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ab/>
      </w:r>
      <w:r w:rsidR="00C864EF" w:rsidRPr="00EC0208">
        <w:rPr>
          <w:rFonts w:ascii="Marianne" w:hAnsi="Marianne" w:cs="Calibri"/>
          <w:b/>
          <w:bCs/>
          <w:iCs/>
          <w:color w:val="auto"/>
          <w:sz w:val="20"/>
          <w:szCs w:val="20"/>
          <w:u w:val="single"/>
        </w:rPr>
        <w:t>Coordination et animation des équipes</w:t>
      </w:r>
      <w:r w:rsidR="00C864EF"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 xml:space="preserve"> </w:t>
      </w:r>
    </w:p>
    <w:p w:rsidR="00B1581E" w:rsidRPr="00D92476" w:rsidRDefault="00D23CE3" w:rsidP="00C84202">
      <w:pPr>
        <w:pStyle w:val="Default"/>
        <w:spacing w:after="12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>L</w:t>
      </w:r>
      <w:r w:rsidR="00C864EF" w:rsidRPr="00EC0208">
        <w:rPr>
          <w:rFonts w:ascii="Marianne" w:hAnsi="Marianne" w:cs="Calibri"/>
          <w:color w:val="auto"/>
          <w:sz w:val="20"/>
          <w:szCs w:val="20"/>
        </w:rPr>
        <w:t xml:space="preserve">e </w:t>
      </w:r>
      <w:r w:rsidR="00F1313C" w:rsidRPr="00EC0208">
        <w:rPr>
          <w:rFonts w:ascii="Marianne" w:hAnsi="Marianne" w:cs="Calibri"/>
          <w:color w:val="auto"/>
          <w:sz w:val="20"/>
          <w:szCs w:val="20"/>
        </w:rPr>
        <w:t>DDF</w:t>
      </w:r>
      <w:r w:rsidR="00C53588" w:rsidRPr="00EC0208">
        <w:rPr>
          <w:rFonts w:ascii="Marianne" w:hAnsi="Marianne" w:cs="Calibri"/>
          <w:color w:val="auto"/>
          <w:sz w:val="20"/>
          <w:szCs w:val="20"/>
        </w:rPr>
        <w:t xml:space="preserve"> coordonne et anime les équipes</w:t>
      </w:r>
      <w:r w:rsidR="00C864EF" w:rsidRPr="00EC0208">
        <w:rPr>
          <w:rFonts w:ascii="Marianne" w:hAnsi="Marianne" w:cs="Calibri"/>
          <w:color w:val="auto"/>
          <w:sz w:val="20"/>
          <w:szCs w:val="20"/>
        </w:rPr>
        <w:t xml:space="preserve"> pédagogique</w:t>
      </w:r>
      <w:r w:rsidR="00C53588" w:rsidRPr="00EC0208">
        <w:rPr>
          <w:rFonts w:ascii="Marianne" w:hAnsi="Marianne" w:cs="Calibri"/>
          <w:color w:val="auto"/>
          <w:sz w:val="20"/>
          <w:szCs w:val="20"/>
        </w:rPr>
        <w:t>s, contribuant ainsi à développer la coopération</w:t>
      </w:r>
      <w:r w:rsidR="00307D6A" w:rsidRPr="00EC0208">
        <w:rPr>
          <w:rFonts w:ascii="Marianne" w:hAnsi="Marianne" w:cs="Calibri"/>
          <w:color w:val="auto"/>
          <w:sz w:val="20"/>
          <w:szCs w:val="20"/>
        </w:rPr>
        <w:t>,</w:t>
      </w:r>
      <w:r w:rsidR="00C53588" w:rsidRPr="00EC0208">
        <w:rPr>
          <w:rFonts w:ascii="Marianne" w:hAnsi="Marianne" w:cs="Calibri"/>
          <w:color w:val="auto"/>
          <w:sz w:val="20"/>
          <w:szCs w:val="20"/>
        </w:rPr>
        <w:t xml:space="preserve"> l’échange et le travail collectif au </w:t>
      </w:r>
      <w:r w:rsidR="00C53588" w:rsidRPr="00D92476">
        <w:rPr>
          <w:rFonts w:ascii="Marianne" w:hAnsi="Marianne" w:cs="Calibri"/>
          <w:color w:val="auto"/>
          <w:sz w:val="20"/>
          <w:szCs w:val="20"/>
        </w:rPr>
        <w:t>sein des équipes de professeurs de spécialités, ainsi qu’entre les professeurs de spécialités et les professeurs d’enseignement</w:t>
      </w:r>
      <w:r w:rsidR="00BF127F" w:rsidRPr="00D92476">
        <w:rPr>
          <w:rFonts w:ascii="Marianne" w:hAnsi="Marianne" w:cs="Calibri"/>
          <w:color w:val="auto"/>
          <w:sz w:val="20"/>
          <w:szCs w:val="20"/>
        </w:rPr>
        <w:t>s</w:t>
      </w:r>
      <w:r w:rsidR="00D92476" w:rsidRPr="00D92476">
        <w:rPr>
          <w:rFonts w:ascii="Marianne" w:hAnsi="Marianne" w:cs="Calibri"/>
          <w:color w:val="auto"/>
          <w:sz w:val="20"/>
          <w:szCs w:val="20"/>
        </w:rPr>
        <w:t xml:space="preserve"> génér</w:t>
      </w:r>
      <w:r w:rsidR="00BF127F" w:rsidRPr="00D92476">
        <w:rPr>
          <w:rFonts w:ascii="Marianne" w:hAnsi="Marianne" w:cs="Calibri"/>
          <w:color w:val="auto"/>
          <w:sz w:val="20"/>
          <w:szCs w:val="20"/>
        </w:rPr>
        <w:t>aux</w:t>
      </w:r>
      <w:r w:rsidR="00C53588" w:rsidRPr="00D92476">
        <w:rPr>
          <w:rFonts w:ascii="Marianne" w:hAnsi="Marianne" w:cs="Calibri"/>
          <w:color w:val="auto"/>
          <w:sz w:val="20"/>
          <w:szCs w:val="20"/>
        </w:rPr>
        <w:t>.</w:t>
      </w:r>
      <w:r w:rsidR="00C864EF" w:rsidRPr="00D92476">
        <w:rPr>
          <w:rFonts w:ascii="Marianne" w:hAnsi="Marianne" w:cs="Calibri"/>
          <w:color w:val="auto"/>
          <w:sz w:val="20"/>
          <w:szCs w:val="20"/>
        </w:rPr>
        <w:t xml:space="preserve"> </w:t>
      </w:r>
      <w:r w:rsidR="00B1581E" w:rsidRPr="00D92476">
        <w:rPr>
          <w:rFonts w:ascii="Marianne" w:hAnsi="Marianne" w:cs="Calibri"/>
          <w:color w:val="auto"/>
          <w:sz w:val="20"/>
          <w:szCs w:val="20"/>
        </w:rPr>
        <w:t xml:space="preserve">Le </w:t>
      </w:r>
      <w:r w:rsidR="00F1313C" w:rsidRPr="00D92476">
        <w:rPr>
          <w:rFonts w:ascii="Marianne" w:hAnsi="Marianne" w:cs="Calibri"/>
          <w:color w:val="auto"/>
          <w:sz w:val="20"/>
          <w:szCs w:val="20"/>
        </w:rPr>
        <w:t>DDF</w:t>
      </w:r>
      <w:r w:rsidR="00B1581E" w:rsidRPr="00D92476">
        <w:rPr>
          <w:rFonts w:ascii="Marianne" w:hAnsi="Marianne" w:cs="Calibri"/>
          <w:color w:val="auto"/>
          <w:sz w:val="20"/>
          <w:szCs w:val="20"/>
        </w:rPr>
        <w:t xml:space="preserve"> assure également une fonction de correspondant technique des inspecteurs auprès des enseignants.</w:t>
      </w:r>
    </w:p>
    <w:p w:rsidR="00362E0C" w:rsidRPr="00EC0208" w:rsidRDefault="00362E0C" w:rsidP="00362E0C">
      <w:pPr>
        <w:pStyle w:val="Default"/>
        <w:spacing w:before="120" w:after="12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 xml:space="preserve">Points retenus sur lesquels porteront prioritairement les actions du DDF : </w:t>
      </w: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C0208" w:rsidRDefault="00EC0208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C0208" w:rsidRDefault="00EC0208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9D1B49" w:rsidRPr="00EC0208" w:rsidRDefault="009D1B49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Default="00504B81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9D1B49" w:rsidRPr="00EC0208" w:rsidRDefault="009D1B49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D23CE3" w:rsidRPr="00EC0208" w:rsidRDefault="00D23CE3" w:rsidP="00D23CE3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A179D6" w:rsidRPr="00EC0208" w:rsidRDefault="00A179D6" w:rsidP="00A179D6">
      <w:pPr>
        <w:pStyle w:val="Default"/>
        <w:spacing w:before="120" w:after="120"/>
        <w:rPr>
          <w:rFonts w:ascii="Marianne" w:hAnsi="Marianne" w:cs="Calibri"/>
          <w:b/>
          <w:bCs/>
          <w:iCs/>
          <w:color w:val="auto"/>
          <w:sz w:val="20"/>
          <w:szCs w:val="20"/>
        </w:rPr>
      </w:pP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lastRenderedPageBreak/>
        <w:t>3-</w:t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ab/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  <w:u w:val="single"/>
        </w:rPr>
        <w:t>Conseil au chef d’établissement</w:t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 xml:space="preserve"> </w:t>
      </w:r>
    </w:p>
    <w:p w:rsidR="00A179D6" w:rsidRPr="00EC0208" w:rsidRDefault="00A179D6" w:rsidP="00A179D6">
      <w:pPr>
        <w:pStyle w:val="Default"/>
        <w:spacing w:after="6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 xml:space="preserve">Le DDF est le conseiller direct du chef d’établissement pour la mise en œuvre et le développement des enseignements professionnels et technologiques. </w:t>
      </w:r>
    </w:p>
    <w:p w:rsidR="00362E0C" w:rsidRPr="00EC0208" w:rsidRDefault="00362E0C" w:rsidP="00362E0C">
      <w:pPr>
        <w:pStyle w:val="Default"/>
        <w:spacing w:before="120" w:after="12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 xml:space="preserve">Points retenus sur lesquels porteront prioritairement les actions du DDF : </w:t>
      </w: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E9144E" w:rsidRPr="00EC0208" w:rsidRDefault="00E9144E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D7ABF" w:rsidRPr="00EC0208" w:rsidRDefault="005D7ABF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D7ABF" w:rsidRPr="00EC0208" w:rsidRDefault="005D7ABF" w:rsidP="00E9144E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C864EF" w:rsidRPr="00EC0208" w:rsidRDefault="00C864EF" w:rsidP="00C864EF">
      <w:pPr>
        <w:pStyle w:val="Default"/>
        <w:rPr>
          <w:rFonts w:ascii="Marianne" w:hAnsi="Marianne" w:cs="Calibri"/>
          <w:color w:val="auto"/>
          <w:sz w:val="20"/>
          <w:szCs w:val="20"/>
          <w:u w:val="single"/>
        </w:rPr>
      </w:pP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>4</w:t>
      </w:r>
      <w:r w:rsidR="00B0776C"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>-</w:t>
      </w:r>
      <w:r w:rsidR="00B0776C" w:rsidRPr="00EC0208">
        <w:rPr>
          <w:rFonts w:ascii="Marianne" w:hAnsi="Marianne" w:cs="Calibri"/>
          <w:b/>
          <w:bCs/>
          <w:iCs/>
          <w:color w:val="auto"/>
          <w:sz w:val="20"/>
          <w:szCs w:val="20"/>
        </w:rPr>
        <w:tab/>
      </w:r>
      <w:r w:rsidRPr="00EC0208">
        <w:rPr>
          <w:rFonts w:ascii="Marianne" w:hAnsi="Marianne" w:cs="Calibri"/>
          <w:b/>
          <w:bCs/>
          <w:iCs/>
          <w:color w:val="auto"/>
          <w:sz w:val="20"/>
          <w:szCs w:val="20"/>
          <w:u w:val="single"/>
        </w:rPr>
        <w:t xml:space="preserve">Relations avec les partenaires extérieurs </w:t>
      </w:r>
    </w:p>
    <w:p w:rsidR="00C864EF" w:rsidRPr="00EC0208" w:rsidRDefault="00C864EF" w:rsidP="00C864EF">
      <w:pPr>
        <w:pStyle w:val="Default"/>
        <w:rPr>
          <w:rFonts w:ascii="Marianne" w:hAnsi="Marianne" w:cs="Calibri"/>
          <w:color w:val="auto"/>
          <w:sz w:val="20"/>
          <w:szCs w:val="20"/>
        </w:rPr>
      </w:pPr>
    </w:p>
    <w:p w:rsidR="009640E9" w:rsidRPr="00EC0208" w:rsidRDefault="005D7ABF" w:rsidP="00C84202">
      <w:pPr>
        <w:pStyle w:val="Default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>L</w:t>
      </w:r>
      <w:r w:rsidR="00C864EF" w:rsidRPr="00EC0208">
        <w:rPr>
          <w:rFonts w:ascii="Marianne" w:hAnsi="Marianne" w:cs="Calibri"/>
          <w:color w:val="auto"/>
          <w:sz w:val="20"/>
          <w:szCs w:val="20"/>
        </w:rPr>
        <w:t xml:space="preserve">e </w:t>
      </w:r>
      <w:r w:rsidR="00F1313C" w:rsidRPr="00EC0208">
        <w:rPr>
          <w:rFonts w:ascii="Marianne" w:hAnsi="Marianne" w:cs="Calibri"/>
          <w:color w:val="auto"/>
          <w:sz w:val="20"/>
          <w:szCs w:val="20"/>
        </w:rPr>
        <w:t>DDF</w:t>
      </w:r>
      <w:r w:rsidR="00C864EF" w:rsidRPr="00EC0208">
        <w:rPr>
          <w:rFonts w:ascii="Marianne" w:hAnsi="Marianne" w:cs="Calibri"/>
          <w:color w:val="auto"/>
          <w:sz w:val="20"/>
          <w:szCs w:val="20"/>
        </w:rPr>
        <w:t xml:space="preserve"> contribue au développement des partenariats avec les acteurs du mon</w:t>
      </w:r>
      <w:r w:rsidR="00331D8C">
        <w:rPr>
          <w:rFonts w:ascii="Marianne" w:hAnsi="Marianne" w:cs="Calibri"/>
          <w:color w:val="auto"/>
          <w:sz w:val="20"/>
          <w:szCs w:val="20"/>
        </w:rPr>
        <w:t>de économique et professionnel.</w:t>
      </w:r>
    </w:p>
    <w:p w:rsidR="00362E0C" w:rsidRPr="00EC0208" w:rsidRDefault="00362E0C" w:rsidP="00362E0C">
      <w:pPr>
        <w:pStyle w:val="Default"/>
        <w:spacing w:before="120" w:after="120"/>
        <w:jc w:val="both"/>
        <w:rPr>
          <w:rFonts w:ascii="Marianne" w:hAnsi="Marianne" w:cs="Calibri"/>
          <w:color w:val="auto"/>
          <w:sz w:val="20"/>
          <w:szCs w:val="20"/>
        </w:rPr>
      </w:pPr>
      <w:r w:rsidRPr="00EC0208">
        <w:rPr>
          <w:rFonts w:ascii="Marianne" w:hAnsi="Marianne" w:cs="Calibri"/>
          <w:color w:val="auto"/>
          <w:sz w:val="20"/>
          <w:szCs w:val="20"/>
        </w:rPr>
        <w:t xml:space="preserve">Points retenus sur lesquels porteront prioritairement les actions du DDF : </w:t>
      </w: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p w:rsidR="00504B81" w:rsidRPr="00EC0208" w:rsidRDefault="00504B81" w:rsidP="00504B81">
      <w:pPr>
        <w:pStyle w:val="Default"/>
        <w:ind w:left="720"/>
        <w:jc w:val="both"/>
        <w:rPr>
          <w:rFonts w:ascii="Marianne" w:hAnsi="Marianne" w:cs="Calibri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2A4D55" w:rsidRPr="00EC0208" w:rsidTr="00504B81">
        <w:tc>
          <w:tcPr>
            <w:tcW w:w="9972" w:type="dxa"/>
            <w:gridSpan w:val="2"/>
          </w:tcPr>
          <w:p w:rsidR="002A4D55" w:rsidRPr="00EC0208" w:rsidRDefault="002A4D55" w:rsidP="00F425C1">
            <w:pPr>
              <w:pStyle w:val="Default"/>
              <w:spacing w:before="240" w:after="240"/>
              <w:jc w:val="center"/>
              <w:rPr>
                <w:rFonts w:ascii="Marianne" w:hAnsi="Marianne" w:cs="Calibri"/>
                <w:b/>
                <w:bCs/>
                <w:color w:val="auto"/>
                <w:sz w:val="20"/>
                <w:szCs w:val="20"/>
              </w:rPr>
            </w:pPr>
            <w:r w:rsidRPr="00EC0208">
              <w:rPr>
                <w:rFonts w:ascii="Marianne" w:hAnsi="Marianne" w:cs="Calibri"/>
                <w:color w:val="auto"/>
                <w:sz w:val="20"/>
                <w:szCs w:val="20"/>
              </w:rPr>
              <w:t xml:space="preserve">Fait à </w:t>
            </w:r>
            <w:r w:rsidR="00BD0DBC">
              <w:rPr>
                <w:rFonts w:ascii="Marianne" w:hAnsi="Marianne" w:cs="Calibri"/>
                <w:b/>
                <w:bCs/>
                <w:color w:val="auto"/>
                <w:sz w:val="20"/>
                <w:szCs w:val="20"/>
              </w:rPr>
              <w:t>…………………</w:t>
            </w:r>
            <w:r w:rsidRPr="00EC0208">
              <w:rPr>
                <w:rFonts w:ascii="Marianne" w:hAnsi="Marianne" w:cs="Calibri"/>
                <w:color w:val="auto"/>
                <w:sz w:val="20"/>
                <w:szCs w:val="20"/>
              </w:rPr>
              <w:t xml:space="preserve">, le </w:t>
            </w:r>
            <w:r w:rsidRPr="00EC0208">
              <w:rPr>
                <w:rFonts w:ascii="Marianne" w:hAnsi="Marianne" w:cs="Calibri"/>
                <w:b/>
                <w:bCs/>
                <w:color w:val="auto"/>
                <w:sz w:val="20"/>
                <w:szCs w:val="20"/>
              </w:rPr>
              <w:t>……………………</w:t>
            </w:r>
            <w:proofErr w:type="gramStart"/>
            <w:r w:rsidRPr="00EC0208">
              <w:rPr>
                <w:rFonts w:ascii="Marianne" w:hAnsi="Marianne" w:cs="Calibri"/>
                <w:b/>
                <w:bCs/>
                <w:color w:val="auto"/>
                <w:sz w:val="20"/>
                <w:szCs w:val="20"/>
              </w:rPr>
              <w:t>…….</w:t>
            </w:r>
            <w:proofErr w:type="gramEnd"/>
            <w:r w:rsidRPr="00EC0208">
              <w:rPr>
                <w:rFonts w:ascii="Marianne" w:hAnsi="Marianne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:rsidR="00861BB4" w:rsidRPr="00EC0208" w:rsidRDefault="00861BB4" w:rsidP="00F425C1">
            <w:pPr>
              <w:pStyle w:val="Default"/>
              <w:spacing w:before="240" w:after="240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</w:tc>
      </w:tr>
      <w:tr w:rsidR="006C7EE6" w:rsidRPr="00EC0208" w:rsidTr="00504B81">
        <w:trPr>
          <w:trHeight w:val="1570"/>
        </w:trPr>
        <w:tc>
          <w:tcPr>
            <w:tcW w:w="4986" w:type="dxa"/>
          </w:tcPr>
          <w:p w:rsidR="006C7EE6" w:rsidRPr="00EC0208" w:rsidRDefault="006C7EE6" w:rsidP="00F425C1">
            <w:pPr>
              <w:pStyle w:val="Default"/>
              <w:jc w:val="center"/>
              <w:rPr>
                <w:rFonts w:ascii="Marianne" w:hAnsi="Marianne" w:cs="Calibri"/>
                <w:b/>
                <w:color w:val="auto"/>
                <w:sz w:val="20"/>
                <w:szCs w:val="20"/>
              </w:rPr>
            </w:pP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Le </w:t>
            </w:r>
            <w:r w:rsidR="008228CC"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Chef</w:t>
            </w: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 d’établissement</w:t>
            </w:r>
          </w:p>
          <w:p w:rsidR="006C7EE6" w:rsidRPr="00EC0208" w:rsidRDefault="006C7EE6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28013E" w:rsidRPr="00EC0208" w:rsidRDefault="0028013E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0F3CC3" w:rsidRPr="00EC0208" w:rsidRDefault="000F3CC3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2A4D55" w:rsidRPr="00EC0208" w:rsidRDefault="002A4D55" w:rsidP="00F425C1">
            <w:pPr>
              <w:pStyle w:val="En-tte"/>
              <w:tabs>
                <w:tab w:val="clear" w:pos="4513"/>
              </w:tabs>
              <w:spacing w:line="280" w:lineRule="exact"/>
              <w:jc w:val="center"/>
              <w:rPr>
                <w:rFonts w:ascii="Marianne" w:hAnsi="Marianne" w:cs="Calibri"/>
                <w:sz w:val="20"/>
                <w:szCs w:val="20"/>
              </w:rPr>
            </w:pPr>
          </w:p>
        </w:tc>
        <w:tc>
          <w:tcPr>
            <w:tcW w:w="4986" w:type="dxa"/>
          </w:tcPr>
          <w:p w:rsidR="006C7EE6" w:rsidRPr="00EC0208" w:rsidRDefault="006C7EE6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Le </w:t>
            </w:r>
            <w:r w:rsidR="00BE3F89"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Directeur</w:t>
            </w: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 délégué au</w:t>
            </w:r>
            <w:r w:rsidR="00E14A64"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x</w:t>
            </w: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 formations professionnelles et technologiques</w:t>
            </w:r>
          </w:p>
          <w:p w:rsidR="003266B9" w:rsidRPr="00EC0208" w:rsidRDefault="003266B9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28013E" w:rsidRPr="00EC0208" w:rsidRDefault="0028013E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6C7EE6" w:rsidRPr="00EC0208" w:rsidRDefault="006C7EE6" w:rsidP="00F425C1">
            <w:pPr>
              <w:pStyle w:val="Corpsdetexte"/>
              <w:jc w:val="center"/>
              <w:rPr>
                <w:rFonts w:ascii="Marianne" w:hAnsi="Marianne" w:cs="Calibri"/>
                <w:szCs w:val="20"/>
              </w:rPr>
            </w:pPr>
          </w:p>
        </w:tc>
      </w:tr>
      <w:tr w:rsidR="002A4D55" w:rsidRPr="00EC0208" w:rsidTr="00504B81">
        <w:tc>
          <w:tcPr>
            <w:tcW w:w="9972" w:type="dxa"/>
            <w:gridSpan w:val="2"/>
            <w:vAlign w:val="center"/>
          </w:tcPr>
          <w:p w:rsidR="00996735" w:rsidRPr="00EC0208" w:rsidRDefault="0028013E" w:rsidP="00996735">
            <w:pPr>
              <w:pStyle w:val="Default"/>
              <w:jc w:val="center"/>
              <w:rPr>
                <w:rFonts w:ascii="Marianne" w:hAnsi="Marianne" w:cs="Calibri"/>
                <w:b/>
                <w:color w:val="auto"/>
                <w:sz w:val="20"/>
                <w:szCs w:val="20"/>
              </w:rPr>
            </w:pP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Le</w:t>
            </w:r>
            <w:r w:rsidR="00996735"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 xml:space="preserve"> </w:t>
            </w:r>
            <w:r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R</w:t>
            </w:r>
            <w:r w:rsidR="00996735" w:rsidRPr="00EC0208">
              <w:rPr>
                <w:rFonts w:ascii="Marianne" w:hAnsi="Marianne" w:cs="Calibri"/>
                <w:b/>
                <w:color w:val="auto"/>
                <w:sz w:val="20"/>
                <w:szCs w:val="20"/>
              </w:rPr>
              <w:t>ecteur de l’académie de Nantes</w:t>
            </w:r>
          </w:p>
          <w:p w:rsidR="000F3CC3" w:rsidRPr="00EC0208" w:rsidRDefault="000F3CC3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0F3CC3" w:rsidRPr="00EC0208" w:rsidRDefault="000F3CC3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0F3CC3" w:rsidRPr="00EC0208" w:rsidRDefault="000F3CC3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  <w:p w:rsidR="002A4D55" w:rsidRPr="00EC0208" w:rsidRDefault="0028013E" w:rsidP="00F425C1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  <w:r w:rsidRPr="00EC0208">
              <w:rPr>
                <w:rFonts w:ascii="Marianne" w:hAnsi="Marianne" w:cs="Calibri"/>
                <w:color w:val="auto"/>
                <w:sz w:val="20"/>
                <w:szCs w:val="20"/>
              </w:rPr>
              <w:t>William MAROIS</w:t>
            </w:r>
          </w:p>
          <w:p w:rsidR="00D845ED" w:rsidRPr="00EC0208" w:rsidRDefault="00D845ED" w:rsidP="00E62EE7">
            <w:pPr>
              <w:pStyle w:val="Default"/>
              <w:jc w:val="center"/>
              <w:rPr>
                <w:rFonts w:ascii="Marianne" w:hAnsi="Marianne" w:cs="Calibri"/>
                <w:color w:val="auto"/>
                <w:sz w:val="20"/>
                <w:szCs w:val="20"/>
              </w:rPr>
            </w:pPr>
          </w:p>
        </w:tc>
      </w:tr>
    </w:tbl>
    <w:p w:rsidR="009D58C8" w:rsidRDefault="009D58C8" w:rsidP="00F425C1">
      <w:pPr>
        <w:pStyle w:val="Corpsdetexte"/>
        <w:rPr>
          <w:rFonts w:ascii="Marianne" w:hAnsi="Marianne" w:cs="Calibri"/>
          <w:szCs w:val="20"/>
        </w:rPr>
      </w:pPr>
    </w:p>
    <w:p w:rsidR="00B1707B" w:rsidRDefault="00B1707B" w:rsidP="00F425C1">
      <w:pPr>
        <w:pStyle w:val="Corpsdetexte"/>
        <w:rPr>
          <w:rFonts w:ascii="Marianne" w:hAnsi="Marianne" w:cs="Calibri"/>
          <w:szCs w:val="20"/>
        </w:rPr>
      </w:pPr>
    </w:p>
    <w:p w:rsidR="00BD0DBC" w:rsidRDefault="00BD0DBC" w:rsidP="00F425C1">
      <w:pPr>
        <w:pStyle w:val="Corpsdetexte"/>
        <w:rPr>
          <w:rFonts w:ascii="Marianne" w:hAnsi="Marianne" w:cs="Calibri"/>
          <w:szCs w:val="20"/>
        </w:rPr>
      </w:pPr>
    </w:p>
    <w:p w:rsidR="00996735" w:rsidRPr="00B1707B" w:rsidRDefault="002A4D55" w:rsidP="00F425C1">
      <w:pPr>
        <w:pStyle w:val="Corpsdetexte"/>
        <w:rPr>
          <w:rFonts w:ascii="Marianne" w:hAnsi="Marianne" w:cs="Calibri"/>
          <w:sz w:val="18"/>
          <w:szCs w:val="18"/>
        </w:rPr>
      </w:pPr>
      <w:r w:rsidRPr="00B1707B">
        <w:rPr>
          <w:rFonts w:ascii="Marianne" w:hAnsi="Marianne" w:cs="Calibri"/>
          <w:sz w:val="18"/>
          <w:szCs w:val="18"/>
        </w:rPr>
        <w:t>Copie à</w:t>
      </w:r>
      <w:r w:rsidR="00996735" w:rsidRPr="00B1707B">
        <w:rPr>
          <w:rFonts w:ascii="Calibri" w:hAnsi="Calibri" w:cs="Calibri"/>
          <w:sz w:val="18"/>
          <w:szCs w:val="18"/>
        </w:rPr>
        <w:t> </w:t>
      </w:r>
      <w:r w:rsidR="00996735" w:rsidRPr="00B1707B">
        <w:rPr>
          <w:rFonts w:ascii="Marianne" w:hAnsi="Marianne" w:cs="Calibri"/>
          <w:sz w:val="18"/>
          <w:szCs w:val="18"/>
        </w:rPr>
        <w:t>:</w:t>
      </w:r>
    </w:p>
    <w:p w:rsidR="002A4D55" w:rsidRPr="00B1707B" w:rsidRDefault="00861BB4" w:rsidP="00996735">
      <w:pPr>
        <w:pStyle w:val="Corpsdetexte"/>
        <w:numPr>
          <w:ilvl w:val="0"/>
          <w:numId w:val="26"/>
        </w:numPr>
        <w:rPr>
          <w:rFonts w:ascii="Marianne" w:hAnsi="Marianne" w:cs="Calibri"/>
          <w:sz w:val="18"/>
          <w:szCs w:val="18"/>
        </w:rPr>
      </w:pPr>
      <w:r w:rsidRPr="00B1707B">
        <w:rPr>
          <w:rFonts w:ascii="Marianne" w:hAnsi="Marianne" w:cs="Calibri"/>
          <w:sz w:val="18"/>
          <w:szCs w:val="18"/>
        </w:rPr>
        <w:t>M</w:t>
      </w:r>
      <w:r w:rsidR="002A4D55" w:rsidRPr="00B1707B">
        <w:rPr>
          <w:rFonts w:ascii="Marianne" w:hAnsi="Marianne" w:cs="Calibri"/>
          <w:sz w:val="18"/>
          <w:szCs w:val="18"/>
        </w:rPr>
        <w:t xml:space="preserve">onsieur </w:t>
      </w:r>
      <w:r w:rsidR="00FB0D8D" w:rsidRPr="00B1707B">
        <w:rPr>
          <w:rFonts w:ascii="Marianne" w:hAnsi="Marianne" w:cs="Calibri"/>
          <w:sz w:val="18"/>
          <w:szCs w:val="18"/>
        </w:rPr>
        <w:t xml:space="preserve">le Délégué académique à la formation professionnelle initiale et continue </w:t>
      </w:r>
    </w:p>
    <w:p w:rsidR="00996735" w:rsidRPr="00227121" w:rsidRDefault="00996735" w:rsidP="00996735">
      <w:pPr>
        <w:pStyle w:val="Corpsdetexte"/>
        <w:numPr>
          <w:ilvl w:val="0"/>
          <w:numId w:val="26"/>
        </w:numPr>
        <w:rPr>
          <w:rFonts w:ascii="Marianne" w:hAnsi="Marianne" w:cs="Calibri"/>
          <w:sz w:val="18"/>
          <w:szCs w:val="18"/>
        </w:rPr>
      </w:pPr>
      <w:r w:rsidRPr="00B1707B">
        <w:rPr>
          <w:rFonts w:ascii="Marianne" w:hAnsi="Marianne" w:cs="Calibri"/>
          <w:sz w:val="18"/>
          <w:szCs w:val="18"/>
        </w:rPr>
        <w:t xml:space="preserve">Madame ou Monsieur l’Inspecteur territorial </w:t>
      </w:r>
      <w:r w:rsidRPr="00227121">
        <w:rPr>
          <w:rFonts w:ascii="Marianne" w:hAnsi="Marianne" w:cs="Calibri"/>
          <w:sz w:val="18"/>
          <w:szCs w:val="18"/>
        </w:rPr>
        <w:t>référent</w:t>
      </w:r>
      <w:r w:rsidR="00227121">
        <w:rPr>
          <w:rFonts w:ascii="Marianne" w:hAnsi="Marianne" w:cs="Calibri"/>
          <w:sz w:val="18"/>
          <w:szCs w:val="18"/>
        </w:rPr>
        <w:t xml:space="preserve"> de l’établissement</w:t>
      </w:r>
      <w:r w:rsidR="00305883" w:rsidRPr="00227121">
        <w:rPr>
          <w:rFonts w:ascii="Marianne" w:hAnsi="Marianne" w:cs="Calibri"/>
          <w:sz w:val="18"/>
          <w:szCs w:val="18"/>
        </w:rPr>
        <w:t>.</w:t>
      </w:r>
    </w:p>
    <w:sectPr w:rsidR="00996735" w:rsidRPr="00227121" w:rsidSect="00EC5092">
      <w:headerReference w:type="default" r:id="rId17"/>
      <w:footerReference w:type="default" r:id="rId18"/>
      <w:type w:val="continuous"/>
      <w:pgSz w:w="11910" w:h="16840"/>
      <w:pgMar w:top="964" w:right="964" w:bottom="1135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A5" w:rsidRDefault="00AB45A5" w:rsidP="0079276E">
      <w:r>
        <w:separator/>
      </w:r>
    </w:p>
  </w:endnote>
  <w:endnote w:type="continuationSeparator" w:id="0">
    <w:p w:rsidR="00AB45A5" w:rsidRDefault="00AB45A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C42A7" w:rsidRDefault="00BC42A7" w:rsidP="00BC42A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C42A7" w:rsidRDefault="00BC4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E4" w:rsidRDefault="008D26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E4" w:rsidRDefault="008D26E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 w:cs="Calibri"/>
        <w:sz w:val="20"/>
        <w:szCs w:val="20"/>
      </w:rPr>
      <w:id w:val="562455240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3D86" w:rsidRPr="00F1313C" w:rsidRDefault="000E3D86">
            <w:pPr>
              <w:pStyle w:val="Pieddepage"/>
              <w:jc w:val="right"/>
              <w:rPr>
                <w:rFonts w:ascii="Marianne" w:hAnsi="Marianne" w:cs="Calibri"/>
                <w:sz w:val="20"/>
                <w:szCs w:val="20"/>
              </w:rPr>
            </w:pPr>
            <w:r w:rsidRPr="00F1313C">
              <w:rPr>
                <w:rFonts w:ascii="Marianne" w:hAnsi="Marianne" w:cs="Calibri"/>
                <w:sz w:val="20"/>
                <w:szCs w:val="20"/>
              </w:rPr>
              <w:t xml:space="preserve">Page </w: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begin"/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instrText>PAGE</w:instrTex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separate"/>
            </w:r>
            <w:r w:rsidR="008D26E4">
              <w:rPr>
                <w:rFonts w:ascii="Marianne" w:hAnsi="Marianne" w:cs="Calibri"/>
                <w:b/>
                <w:bCs/>
                <w:noProof/>
                <w:sz w:val="20"/>
                <w:szCs w:val="20"/>
              </w:rPr>
              <w:t>2</w: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end"/>
            </w:r>
            <w:r w:rsidRPr="00F1313C">
              <w:rPr>
                <w:rFonts w:ascii="Marianne" w:hAnsi="Marianne" w:cs="Calibri"/>
                <w:sz w:val="20"/>
                <w:szCs w:val="20"/>
              </w:rPr>
              <w:t xml:space="preserve"> sur </w: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begin"/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instrText>NUMPAGES</w:instrTex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separate"/>
            </w:r>
            <w:r w:rsidR="008D26E4">
              <w:rPr>
                <w:rFonts w:ascii="Marianne" w:hAnsi="Marianne" w:cs="Calibri"/>
                <w:b/>
                <w:bCs/>
                <w:noProof/>
                <w:sz w:val="20"/>
                <w:szCs w:val="20"/>
              </w:rPr>
              <w:t>2</w:t>
            </w:r>
            <w:r w:rsidRPr="00F1313C">
              <w:rPr>
                <w:rFonts w:ascii="Marianne" w:hAnsi="Marianne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C42A7" w:rsidRPr="00847039" w:rsidRDefault="00BC42A7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A5" w:rsidRDefault="00AB45A5" w:rsidP="0079276E">
      <w:r>
        <w:separator/>
      </w:r>
    </w:p>
  </w:footnote>
  <w:footnote w:type="continuationSeparator" w:id="0">
    <w:p w:rsidR="00AB45A5" w:rsidRDefault="00AB45A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E4" w:rsidRDefault="008D26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F" w:rsidRPr="0080045A" w:rsidRDefault="00BC42A7" w:rsidP="002D5D1F">
    <w:pPr>
      <w:pStyle w:val="En-tte"/>
      <w:tabs>
        <w:tab w:val="clear" w:pos="4513"/>
      </w:tabs>
      <w:jc w:val="right"/>
      <w:rPr>
        <w:rFonts w:ascii="Marianne ExtraBold" w:eastAsia="Arial" w:hAnsi="Marianne ExtraBold"/>
        <w:bCs/>
        <w:sz w:val="28"/>
        <w:szCs w:val="28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-1129665</wp:posOffset>
          </wp:positionV>
          <wp:extent cx="1111250" cy="1045845"/>
          <wp:effectExtent l="0" t="0" r="0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C_NANT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 w:rsidR="002D5D1F" w:rsidRPr="0080045A">
      <w:rPr>
        <w:rFonts w:ascii="Marianne ExtraBold" w:eastAsia="Arial" w:hAnsi="Marianne ExtraBold"/>
        <w:bCs/>
        <w:sz w:val="28"/>
        <w:szCs w:val="28"/>
      </w:rPr>
      <w:t xml:space="preserve">Délégation Académique </w:t>
    </w:r>
    <w:r w:rsidR="002D5D1F" w:rsidRPr="0080045A">
      <w:rPr>
        <w:rFonts w:ascii="Marianne ExtraBold" w:eastAsia="Arial" w:hAnsi="Marianne ExtraBold"/>
        <w:bCs/>
        <w:sz w:val="28"/>
        <w:szCs w:val="28"/>
      </w:rPr>
      <w:br/>
      <w:t xml:space="preserve">à la Formation Professionnelle </w:t>
    </w:r>
    <w:r w:rsidR="002D5D1F" w:rsidRPr="0080045A">
      <w:rPr>
        <w:rFonts w:ascii="Marianne ExtraBold" w:eastAsia="Arial" w:hAnsi="Marianne ExtraBold"/>
        <w:bCs/>
        <w:sz w:val="28"/>
        <w:szCs w:val="28"/>
      </w:rPr>
      <w:br/>
      <w:t>Initiale et Continue</w:t>
    </w:r>
  </w:p>
  <w:p w:rsidR="00586DFC" w:rsidRDefault="00586DFC" w:rsidP="009F73AE">
    <w:pPr>
      <w:pStyle w:val="En-tte"/>
      <w:tabs>
        <w:tab w:val="clear" w:pos="4513"/>
      </w:tabs>
      <w:jc w:val="right"/>
      <w:rPr>
        <w:rFonts w:ascii="Marianne ExtraBold" w:eastAsia="Arial" w:hAnsi="Marianne ExtraBold"/>
        <w:bCs/>
        <w:sz w:val="24"/>
        <w:szCs w:val="24"/>
      </w:rPr>
    </w:pPr>
  </w:p>
  <w:p w:rsidR="00BC42A7" w:rsidRPr="00586DFC" w:rsidRDefault="001E1992" w:rsidP="009F73AE">
    <w:pPr>
      <w:pStyle w:val="En-tte"/>
      <w:tabs>
        <w:tab w:val="clear" w:pos="4513"/>
      </w:tabs>
      <w:jc w:val="right"/>
      <w:rPr>
        <w:rFonts w:ascii="Marianne ExtraBold" w:eastAsia="Arial" w:hAnsi="Marianne ExtraBold"/>
        <w:bCs/>
        <w:sz w:val="24"/>
        <w:szCs w:val="24"/>
      </w:rPr>
    </w:pPr>
    <w:r w:rsidRPr="00586DFC">
      <w:rPr>
        <w:rFonts w:ascii="Marianne ExtraBold" w:eastAsia="Arial" w:hAnsi="Marianne ExtraBold"/>
        <w:bCs/>
        <w:sz w:val="24"/>
        <w:szCs w:val="24"/>
      </w:rPr>
      <w:t>Jui</w:t>
    </w:r>
    <w:r w:rsidR="008D26E4">
      <w:rPr>
        <w:rFonts w:ascii="Marianne ExtraBold" w:eastAsia="Arial" w:hAnsi="Marianne ExtraBold"/>
        <w:bCs/>
        <w:sz w:val="24"/>
        <w:szCs w:val="24"/>
      </w:rPr>
      <w:t>llet</w:t>
    </w:r>
    <w:bookmarkStart w:id="0" w:name="_GoBack"/>
    <w:bookmarkEnd w:id="0"/>
    <w:r w:rsidRPr="00586DFC">
      <w:rPr>
        <w:rFonts w:ascii="Marianne ExtraBold" w:eastAsia="Arial" w:hAnsi="Marianne ExtraBold"/>
        <w:bCs/>
        <w:sz w:val="24"/>
        <w:szCs w:val="24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E4" w:rsidRDefault="008D26E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A7" w:rsidRPr="003240AC" w:rsidRDefault="00BC42A7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004"/>
    <w:multiLevelType w:val="singleLevel"/>
    <w:tmpl w:val="040C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621A0A7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trike/>
        <w:color w:val="231F20"/>
        <w:spacing w:val="-1"/>
        <w:w w:val="100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04" w:hanging="360"/>
      </w:pPr>
      <w:rPr>
        <w:rFonts w:ascii="Wingdings" w:hAnsi="Wingdings" w:cs="Wingdings" w:hint="default"/>
        <w:b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FF3333"/>
        <w:sz w:val="20"/>
        <w:szCs w:val="20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0000000E"/>
    <w:multiLevelType w:val="multilevel"/>
    <w:tmpl w:val="F5264342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auto"/>
        <w:sz w:val="24"/>
        <w:szCs w:val="24"/>
        <w:lang w:val="fr-FR" w:eastAsia="zh-CN" w:bidi="ar-S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FF"/>
        <w:sz w:val="24"/>
        <w:szCs w:val="24"/>
        <w:lang w:val="fr-FR" w:eastAsia="zh-CN" w:bidi="ar-SA"/>
      </w:rPr>
    </w:lvl>
  </w:abstractNum>
  <w:abstractNum w:abstractNumId="12" w15:restartNumberingAfterBreak="0">
    <w:nsid w:val="031F66C2"/>
    <w:multiLevelType w:val="hybridMultilevel"/>
    <w:tmpl w:val="DA2C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36C18"/>
    <w:multiLevelType w:val="hybridMultilevel"/>
    <w:tmpl w:val="4E4C0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5084"/>
    <w:multiLevelType w:val="hybridMultilevel"/>
    <w:tmpl w:val="AC28F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E0495"/>
    <w:multiLevelType w:val="hybridMultilevel"/>
    <w:tmpl w:val="F9D64D8C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F42CB"/>
    <w:multiLevelType w:val="hybridMultilevel"/>
    <w:tmpl w:val="BABE9456"/>
    <w:lvl w:ilvl="0" w:tplc="18EEA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22B4"/>
    <w:multiLevelType w:val="multilevel"/>
    <w:tmpl w:val="27D22B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138F"/>
    <w:multiLevelType w:val="hybridMultilevel"/>
    <w:tmpl w:val="245C40DC"/>
    <w:lvl w:ilvl="0" w:tplc="2DB00DF8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400557F"/>
    <w:multiLevelType w:val="hybridMultilevel"/>
    <w:tmpl w:val="62908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3753F"/>
    <w:multiLevelType w:val="hybridMultilevel"/>
    <w:tmpl w:val="78EA45BE"/>
    <w:lvl w:ilvl="0" w:tplc="2DB00DF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47342A"/>
    <w:multiLevelType w:val="hybridMultilevel"/>
    <w:tmpl w:val="B81CA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B206D"/>
    <w:multiLevelType w:val="hybridMultilevel"/>
    <w:tmpl w:val="30CA1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A365E"/>
    <w:multiLevelType w:val="hybridMultilevel"/>
    <w:tmpl w:val="00A8A954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1F70"/>
    <w:multiLevelType w:val="hybridMultilevel"/>
    <w:tmpl w:val="82C8D498"/>
    <w:lvl w:ilvl="0" w:tplc="621A0A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28"/>
  </w:num>
  <w:num w:numId="20">
    <w:abstractNumId w:val="21"/>
  </w:num>
  <w:num w:numId="21">
    <w:abstractNumId w:val="24"/>
  </w:num>
  <w:num w:numId="22">
    <w:abstractNumId w:val="18"/>
  </w:num>
  <w:num w:numId="23">
    <w:abstractNumId w:val="16"/>
  </w:num>
  <w:num w:numId="24">
    <w:abstractNumId w:val="27"/>
  </w:num>
  <w:num w:numId="25">
    <w:abstractNumId w:val="22"/>
  </w:num>
  <w:num w:numId="26">
    <w:abstractNumId w:val="13"/>
  </w:num>
  <w:num w:numId="27">
    <w:abstractNumId w:val="26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EF"/>
    <w:rsid w:val="00007374"/>
    <w:rsid w:val="00015220"/>
    <w:rsid w:val="00016EAD"/>
    <w:rsid w:val="000216C2"/>
    <w:rsid w:val="00034F60"/>
    <w:rsid w:val="00041A80"/>
    <w:rsid w:val="00045DCD"/>
    <w:rsid w:val="00046EC0"/>
    <w:rsid w:val="00063894"/>
    <w:rsid w:val="00075E60"/>
    <w:rsid w:val="00081F5E"/>
    <w:rsid w:val="0008430D"/>
    <w:rsid w:val="00085F64"/>
    <w:rsid w:val="000863CC"/>
    <w:rsid w:val="000924D0"/>
    <w:rsid w:val="00092DEF"/>
    <w:rsid w:val="0009327B"/>
    <w:rsid w:val="00094680"/>
    <w:rsid w:val="00096391"/>
    <w:rsid w:val="000A0755"/>
    <w:rsid w:val="000B71BA"/>
    <w:rsid w:val="000C0BB5"/>
    <w:rsid w:val="000E3D86"/>
    <w:rsid w:val="000E4A3D"/>
    <w:rsid w:val="000E7A5D"/>
    <w:rsid w:val="000F3CC3"/>
    <w:rsid w:val="001005FD"/>
    <w:rsid w:val="00114F9B"/>
    <w:rsid w:val="001200FD"/>
    <w:rsid w:val="001235F5"/>
    <w:rsid w:val="00124B15"/>
    <w:rsid w:val="00155C69"/>
    <w:rsid w:val="00156F0A"/>
    <w:rsid w:val="001648E4"/>
    <w:rsid w:val="001708C9"/>
    <w:rsid w:val="00173CDC"/>
    <w:rsid w:val="00174183"/>
    <w:rsid w:val="001742B1"/>
    <w:rsid w:val="001749C1"/>
    <w:rsid w:val="00184C5C"/>
    <w:rsid w:val="00187C50"/>
    <w:rsid w:val="001A2DAB"/>
    <w:rsid w:val="001C024E"/>
    <w:rsid w:val="001C782D"/>
    <w:rsid w:val="001C79E5"/>
    <w:rsid w:val="001D3428"/>
    <w:rsid w:val="001E1992"/>
    <w:rsid w:val="001F119E"/>
    <w:rsid w:val="001F209A"/>
    <w:rsid w:val="00202B2A"/>
    <w:rsid w:val="00206ACE"/>
    <w:rsid w:val="00227121"/>
    <w:rsid w:val="00231BBD"/>
    <w:rsid w:val="00237D56"/>
    <w:rsid w:val="002410E2"/>
    <w:rsid w:val="00241EEF"/>
    <w:rsid w:val="00266A83"/>
    <w:rsid w:val="0027130F"/>
    <w:rsid w:val="00271345"/>
    <w:rsid w:val="0027424D"/>
    <w:rsid w:val="0028013E"/>
    <w:rsid w:val="00281D65"/>
    <w:rsid w:val="00285994"/>
    <w:rsid w:val="00290741"/>
    <w:rsid w:val="00290CE8"/>
    <w:rsid w:val="00293194"/>
    <w:rsid w:val="00294227"/>
    <w:rsid w:val="002A3D32"/>
    <w:rsid w:val="002A4D55"/>
    <w:rsid w:val="002A616A"/>
    <w:rsid w:val="002B3D10"/>
    <w:rsid w:val="002C53DF"/>
    <w:rsid w:val="002D5D1F"/>
    <w:rsid w:val="002D68DB"/>
    <w:rsid w:val="002E4301"/>
    <w:rsid w:val="002E485D"/>
    <w:rsid w:val="002F1A1B"/>
    <w:rsid w:val="002F3E8A"/>
    <w:rsid w:val="002F5BEF"/>
    <w:rsid w:val="002F7579"/>
    <w:rsid w:val="00305883"/>
    <w:rsid w:val="00307D6A"/>
    <w:rsid w:val="00313BA7"/>
    <w:rsid w:val="00320ECD"/>
    <w:rsid w:val="003240AC"/>
    <w:rsid w:val="003266B9"/>
    <w:rsid w:val="00331D8C"/>
    <w:rsid w:val="0035650A"/>
    <w:rsid w:val="0035704D"/>
    <w:rsid w:val="00362E0C"/>
    <w:rsid w:val="00373CE8"/>
    <w:rsid w:val="00383F88"/>
    <w:rsid w:val="00386305"/>
    <w:rsid w:val="0039104F"/>
    <w:rsid w:val="00393C39"/>
    <w:rsid w:val="0039541D"/>
    <w:rsid w:val="003961F5"/>
    <w:rsid w:val="003A4A59"/>
    <w:rsid w:val="003A7BC3"/>
    <w:rsid w:val="003B6C13"/>
    <w:rsid w:val="003D1DE1"/>
    <w:rsid w:val="003D49D5"/>
    <w:rsid w:val="003E5AEF"/>
    <w:rsid w:val="003E5CE4"/>
    <w:rsid w:val="003F2312"/>
    <w:rsid w:val="003F7F82"/>
    <w:rsid w:val="00414E61"/>
    <w:rsid w:val="0042101F"/>
    <w:rsid w:val="00432FBC"/>
    <w:rsid w:val="00435AB0"/>
    <w:rsid w:val="004529DA"/>
    <w:rsid w:val="00452C64"/>
    <w:rsid w:val="00452D76"/>
    <w:rsid w:val="004608CD"/>
    <w:rsid w:val="00462C24"/>
    <w:rsid w:val="004663CE"/>
    <w:rsid w:val="004714FF"/>
    <w:rsid w:val="00474793"/>
    <w:rsid w:val="00477B71"/>
    <w:rsid w:val="0048098F"/>
    <w:rsid w:val="004936AF"/>
    <w:rsid w:val="00493F8B"/>
    <w:rsid w:val="004972F9"/>
    <w:rsid w:val="004B5820"/>
    <w:rsid w:val="004C6B1B"/>
    <w:rsid w:val="004C7346"/>
    <w:rsid w:val="004D0D46"/>
    <w:rsid w:val="004D1619"/>
    <w:rsid w:val="004E7415"/>
    <w:rsid w:val="004E7DF4"/>
    <w:rsid w:val="004F1383"/>
    <w:rsid w:val="004F62DC"/>
    <w:rsid w:val="00502B3C"/>
    <w:rsid w:val="00504B81"/>
    <w:rsid w:val="0051629A"/>
    <w:rsid w:val="00521BCD"/>
    <w:rsid w:val="00533FB0"/>
    <w:rsid w:val="00544729"/>
    <w:rsid w:val="00544970"/>
    <w:rsid w:val="00546AF7"/>
    <w:rsid w:val="00547181"/>
    <w:rsid w:val="005578A1"/>
    <w:rsid w:val="005665E4"/>
    <w:rsid w:val="0057177D"/>
    <w:rsid w:val="00586DFC"/>
    <w:rsid w:val="00591B60"/>
    <w:rsid w:val="005972E3"/>
    <w:rsid w:val="005B11B6"/>
    <w:rsid w:val="005B2989"/>
    <w:rsid w:val="005B51C7"/>
    <w:rsid w:val="005B6F0D"/>
    <w:rsid w:val="005B7C42"/>
    <w:rsid w:val="005C0524"/>
    <w:rsid w:val="005C4846"/>
    <w:rsid w:val="005D7ABF"/>
    <w:rsid w:val="005E2827"/>
    <w:rsid w:val="005E2C49"/>
    <w:rsid w:val="005E7B2D"/>
    <w:rsid w:val="005F1372"/>
    <w:rsid w:val="005F2E98"/>
    <w:rsid w:val="005F3054"/>
    <w:rsid w:val="005F469D"/>
    <w:rsid w:val="005F6161"/>
    <w:rsid w:val="005F7A76"/>
    <w:rsid w:val="00600B70"/>
    <w:rsid w:val="00601526"/>
    <w:rsid w:val="00601B46"/>
    <w:rsid w:val="0060383D"/>
    <w:rsid w:val="00604E7D"/>
    <w:rsid w:val="00611676"/>
    <w:rsid w:val="00615227"/>
    <w:rsid w:val="00615B00"/>
    <w:rsid w:val="0062506D"/>
    <w:rsid w:val="006259CC"/>
    <w:rsid w:val="00625D93"/>
    <w:rsid w:val="006303EF"/>
    <w:rsid w:val="00631596"/>
    <w:rsid w:val="00651077"/>
    <w:rsid w:val="00672B0A"/>
    <w:rsid w:val="00681EED"/>
    <w:rsid w:val="006859B0"/>
    <w:rsid w:val="00693152"/>
    <w:rsid w:val="006A4ADA"/>
    <w:rsid w:val="006B2509"/>
    <w:rsid w:val="006C6137"/>
    <w:rsid w:val="006C7EE6"/>
    <w:rsid w:val="006D4B39"/>
    <w:rsid w:val="006D502A"/>
    <w:rsid w:val="006D678B"/>
    <w:rsid w:val="00712E27"/>
    <w:rsid w:val="00712FC5"/>
    <w:rsid w:val="00733901"/>
    <w:rsid w:val="00735EC1"/>
    <w:rsid w:val="00742004"/>
    <w:rsid w:val="007440C7"/>
    <w:rsid w:val="00752C39"/>
    <w:rsid w:val="007702AB"/>
    <w:rsid w:val="007721F0"/>
    <w:rsid w:val="00785861"/>
    <w:rsid w:val="00785E22"/>
    <w:rsid w:val="0079276E"/>
    <w:rsid w:val="007A1312"/>
    <w:rsid w:val="007B288E"/>
    <w:rsid w:val="007B4F8D"/>
    <w:rsid w:val="007B6F11"/>
    <w:rsid w:val="007B7642"/>
    <w:rsid w:val="007C437D"/>
    <w:rsid w:val="007D01B8"/>
    <w:rsid w:val="007E2D34"/>
    <w:rsid w:val="007E7DC5"/>
    <w:rsid w:val="007F1080"/>
    <w:rsid w:val="007F1724"/>
    <w:rsid w:val="007F30CB"/>
    <w:rsid w:val="007F3C24"/>
    <w:rsid w:val="00804429"/>
    <w:rsid w:val="00805AC9"/>
    <w:rsid w:val="00807CCD"/>
    <w:rsid w:val="0081060F"/>
    <w:rsid w:val="0081341A"/>
    <w:rsid w:val="00816AF5"/>
    <w:rsid w:val="00821A01"/>
    <w:rsid w:val="00822782"/>
    <w:rsid w:val="008228CC"/>
    <w:rsid w:val="00831E59"/>
    <w:rsid w:val="0083661F"/>
    <w:rsid w:val="00844222"/>
    <w:rsid w:val="00847039"/>
    <w:rsid w:val="00851458"/>
    <w:rsid w:val="00861BB4"/>
    <w:rsid w:val="00861F95"/>
    <w:rsid w:val="00884291"/>
    <w:rsid w:val="0089577C"/>
    <w:rsid w:val="008A3ED5"/>
    <w:rsid w:val="008A73FE"/>
    <w:rsid w:val="008A7882"/>
    <w:rsid w:val="008B38D4"/>
    <w:rsid w:val="008D0F3A"/>
    <w:rsid w:val="008D26E4"/>
    <w:rsid w:val="008D2969"/>
    <w:rsid w:val="008D2BE7"/>
    <w:rsid w:val="008E2886"/>
    <w:rsid w:val="0090210C"/>
    <w:rsid w:val="00930B38"/>
    <w:rsid w:val="00930F68"/>
    <w:rsid w:val="00936712"/>
    <w:rsid w:val="00936E45"/>
    <w:rsid w:val="009400EF"/>
    <w:rsid w:val="00941377"/>
    <w:rsid w:val="00944BC7"/>
    <w:rsid w:val="009537D5"/>
    <w:rsid w:val="009640E9"/>
    <w:rsid w:val="009929D4"/>
    <w:rsid w:val="00992DBA"/>
    <w:rsid w:val="009948C2"/>
    <w:rsid w:val="00996735"/>
    <w:rsid w:val="0099741A"/>
    <w:rsid w:val="009A3067"/>
    <w:rsid w:val="009A6CED"/>
    <w:rsid w:val="009B0E79"/>
    <w:rsid w:val="009B508A"/>
    <w:rsid w:val="009C0C96"/>
    <w:rsid w:val="009C302F"/>
    <w:rsid w:val="009C375B"/>
    <w:rsid w:val="009C376D"/>
    <w:rsid w:val="009C6943"/>
    <w:rsid w:val="009D1B49"/>
    <w:rsid w:val="009D58C8"/>
    <w:rsid w:val="009D6BAC"/>
    <w:rsid w:val="009E137A"/>
    <w:rsid w:val="009E24ED"/>
    <w:rsid w:val="009E3B93"/>
    <w:rsid w:val="009E62F9"/>
    <w:rsid w:val="009F0125"/>
    <w:rsid w:val="009F56A7"/>
    <w:rsid w:val="009F73AE"/>
    <w:rsid w:val="00A10A83"/>
    <w:rsid w:val="00A11C91"/>
    <w:rsid w:val="00A124A0"/>
    <w:rsid w:val="00A1486F"/>
    <w:rsid w:val="00A179D6"/>
    <w:rsid w:val="00A24531"/>
    <w:rsid w:val="00A27750"/>
    <w:rsid w:val="00A30EA6"/>
    <w:rsid w:val="00A36E89"/>
    <w:rsid w:val="00A440C0"/>
    <w:rsid w:val="00A45D94"/>
    <w:rsid w:val="00A660C4"/>
    <w:rsid w:val="00A70AB1"/>
    <w:rsid w:val="00A714C0"/>
    <w:rsid w:val="00A80464"/>
    <w:rsid w:val="00A8445D"/>
    <w:rsid w:val="00A84CCB"/>
    <w:rsid w:val="00AA0371"/>
    <w:rsid w:val="00AB330F"/>
    <w:rsid w:val="00AB34FD"/>
    <w:rsid w:val="00AB45A5"/>
    <w:rsid w:val="00AC1A35"/>
    <w:rsid w:val="00AC3689"/>
    <w:rsid w:val="00AD386D"/>
    <w:rsid w:val="00AE48FE"/>
    <w:rsid w:val="00AF0E0E"/>
    <w:rsid w:val="00AF1D5B"/>
    <w:rsid w:val="00B01FF7"/>
    <w:rsid w:val="00B020FB"/>
    <w:rsid w:val="00B02E79"/>
    <w:rsid w:val="00B0776C"/>
    <w:rsid w:val="00B118B6"/>
    <w:rsid w:val="00B1581E"/>
    <w:rsid w:val="00B1707B"/>
    <w:rsid w:val="00B24637"/>
    <w:rsid w:val="00B30B34"/>
    <w:rsid w:val="00B343A1"/>
    <w:rsid w:val="00B37451"/>
    <w:rsid w:val="00B37F5F"/>
    <w:rsid w:val="00B46AF7"/>
    <w:rsid w:val="00B47124"/>
    <w:rsid w:val="00B5059C"/>
    <w:rsid w:val="00B55B58"/>
    <w:rsid w:val="00B76B99"/>
    <w:rsid w:val="00B77A3E"/>
    <w:rsid w:val="00BA0E2B"/>
    <w:rsid w:val="00BA3EEE"/>
    <w:rsid w:val="00BB67C4"/>
    <w:rsid w:val="00BB6FCC"/>
    <w:rsid w:val="00BC42A7"/>
    <w:rsid w:val="00BD0DBC"/>
    <w:rsid w:val="00BE0300"/>
    <w:rsid w:val="00BE3F89"/>
    <w:rsid w:val="00BE5497"/>
    <w:rsid w:val="00BF127F"/>
    <w:rsid w:val="00BF2A75"/>
    <w:rsid w:val="00BF2D0A"/>
    <w:rsid w:val="00C134BD"/>
    <w:rsid w:val="00C220A3"/>
    <w:rsid w:val="00C30571"/>
    <w:rsid w:val="00C32F63"/>
    <w:rsid w:val="00C355BB"/>
    <w:rsid w:val="00C41844"/>
    <w:rsid w:val="00C437B4"/>
    <w:rsid w:val="00C43897"/>
    <w:rsid w:val="00C53588"/>
    <w:rsid w:val="00C53E48"/>
    <w:rsid w:val="00C5469C"/>
    <w:rsid w:val="00C57944"/>
    <w:rsid w:val="00C629CF"/>
    <w:rsid w:val="00C65DBE"/>
    <w:rsid w:val="00C66322"/>
    <w:rsid w:val="00C67312"/>
    <w:rsid w:val="00C7451D"/>
    <w:rsid w:val="00C84202"/>
    <w:rsid w:val="00C84569"/>
    <w:rsid w:val="00C864EF"/>
    <w:rsid w:val="00C9251F"/>
    <w:rsid w:val="00C94DFE"/>
    <w:rsid w:val="00C958CB"/>
    <w:rsid w:val="00CA2FFB"/>
    <w:rsid w:val="00CB22EB"/>
    <w:rsid w:val="00CC3679"/>
    <w:rsid w:val="00CD23D2"/>
    <w:rsid w:val="00CD5E65"/>
    <w:rsid w:val="00CE0CC0"/>
    <w:rsid w:val="00CE16E3"/>
    <w:rsid w:val="00CE1BE6"/>
    <w:rsid w:val="00CE5881"/>
    <w:rsid w:val="00CE70AF"/>
    <w:rsid w:val="00D03ABB"/>
    <w:rsid w:val="00D10C52"/>
    <w:rsid w:val="00D23CE3"/>
    <w:rsid w:val="00D31BD6"/>
    <w:rsid w:val="00D3563F"/>
    <w:rsid w:val="00D37125"/>
    <w:rsid w:val="00D45161"/>
    <w:rsid w:val="00D5323C"/>
    <w:rsid w:val="00D53B10"/>
    <w:rsid w:val="00D55F89"/>
    <w:rsid w:val="00D66A20"/>
    <w:rsid w:val="00D721CF"/>
    <w:rsid w:val="00D74CAE"/>
    <w:rsid w:val="00D76125"/>
    <w:rsid w:val="00D80636"/>
    <w:rsid w:val="00D845ED"/>
    <w:rsid w:val="00D90433"/>
    <w:rsid w:val="00D92476"/>
    <w:rsid w:val="00D96935"/>
    <w:rsid w:val="00DA2090"/>
    <w:rsid w:val="00DA2CE4"/>
    <w:rsid w:val="00DC0A69"/>
    <w:rsid w:val="00DC5BB5"/>
    <w:rsid w:val="00DD22A3"/>
    <w:rsid w:val="00DD50D6"/>
    <w:rsid w:val="00DE3CC8"/>
    <w:rsid w:val="00DF4ED8"/>
    <w:rsid w:val="00E04EF2"/>
    <w:rsid w:val="00E05336"/>
    <w:rsid w:val="00E14A64"/>
    <w:rsid w:val="00E163F7"/>
    <w:rsid w:val="00E31391"/>
    <w:rsid w:val="00E334E5"/>
    <w:rsid w:val="00E34FB0"/>
    <w:rsid w:val="00E511EC"/>
    <w:rsid w:val="00E51FE9"/>
    <w:rsid w:val="00E60D05"/>
    <w:rsid w:val="00E62EE7"/>
    <w:rsid w:val="00E669F0"/>
    <w:rsid w:val="00E765C2"/>
    <w:rsid w:val="00E9144E"/>
    <w:rsid w:val="00EA4234"/>
    <w:rsid w:val="00EC0208"/>
    <w:rsid w:val="00EC3705"/>
    <w:rsid w:val="00EC5092"/>
    <w:rsid w:val="00ED3355"/>
    <w:rsid w:val="00ED3D05"/>
    <w:rsid w:val="00EE6173"/>
    <w:rsid w:val="00EE75FB"/>
    <w:rsid w:val="00EF0CC1"/>
    <w:rsid w:val="00EF5CF0"/>
    <w:rsid w:val="00F007B1"/>
    <w:rsid w:val="00F01BEF"/>
    <w:rsid w:val="00F043B7"/>
    <w:rsid w:val="00F1313C"/>
    <w:rsid w:val="00F203C1"/>
    <w:rsid w:val="00F22CF7"/>
    <w:rsid w:val="00F2464C"/>
    <w:rsid w:val="00F25DA3"/>
    <w:rsid w:val="00F261BB"/>
    <w:rsid w:val="00F35544"/>
    <w:rsid w:val="00F425C1"/>
    <w:rsid w:val="00F43598"/>
    <w:rsid w:val="00F52AE5"/>
    <w:rsid w:val="00F542FC"/>
    <w:rsid w:val="00F619E2"/>
    <w:rsid w:val="00F66F4B"/>
    <w:rsid w:val="00F7722A"/>
    <w:rsid w:val="00F7764D"/>
    <w:rsid w:val="00FB0C0A"/>
    <w:rsid w:val="00FB0D8D"/>
    <w:rsid w:val="00FB63A0"/>
    <w:rsid w:val="00FB6B43"/>
    <w:rsid w:val="00FD10E1"/>
    <w:rsid w:val="00FD30DC"/>
    <w:rsid w:val="00FE0D2D"/>
    <w:rsid w:val="00FE5D6F"/>
    <w:rsid w:val="00FE672C"/>
    <w:rsid w:val="00FF4FE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5AAEF"/>
  <w15:docId w15:val="{C891FF5E-1ACE-4F95-A6FC-42058A7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Textedelespacerserv">
    <w:name w:val="Placeholder Text"/>
    <w:basedOn w:val="Policepardfaut"/>
    <w:uiPriority w:val="99"/>
    <w:semiHidden/>
    <w:rsid w:val="00AB330F"/>
    <w:rPr>
      <w:color w:val="80808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4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4E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4EF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4E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Default">
    <w:name w:val="Default"/>
    <w:rsid w:val="00C864E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1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125"/>
    <w:rPr>
      <w:rFonts w:ascii="Segoe U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CB22EB"/>
    <w:pPr>
      <w:widowControl/>
      <w:autoSpaceDE/>
      <w:autoSpaceDN/>
    </w:pPr>
    <w:rPr>
      <w:rFonts w:asciiTheme="minorHAnsi" w:hAnsiTheme="minorHAnsi" w:cstheme="minorBid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4E6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4E6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1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29A4D07-DE54-4519-A5D1-298CAA19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A6D3C-C461-4FCB-A4C2-91A7E45D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Noyer</dc:creator>
  <cp:lastModifiedBy>VALLIER Pascal</cp:lastModifiedBy>
  <cp:revision>3</cp:revision>
  <cp:lastPrinted>2021-06-15T08:12:00Z</cp:lastPrinted>
  <dcterms:created xsi:type="dcterms:W3CDTF">2021-07-05T10:41:00Z</dcterms:created>
  <dcterms:modified xsi:type="dcterms:W3CDTF">2021-07-05T10:41:00Z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